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/>
          <w:bCs/>
          <w:sz w:val="32"/>
          <w:szCs w:val="32"/>
        </w:rPr>
      </w:pPr>
      <w:r>
        <w:rPr>
          <w:rFonts w:ascii="Trebuchet MS" w:hAnsi="Trebuchet MS"/>
          <w:bCs/>
          <w:sz w:val="32"/>
          <w:szCs w:val="32"/>
        </w:rPr>
        <w:t>CODICE ETICO del COMUNE DI MONZA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Procedura aperta – </w:t>
      </w:r>
      <w:r>
        <w:rPr>
          <w:rFonts w:ascii="Trebuchet MS" w:hAnsi="Trebuchet MS"/>
          <w:b/>
          <w:bCs/>
          <w:sz w:val="20"/>
          <w:szCs w:val="20"/>
          <w:shd w:fill="auto" w:val="clear"/>
        </w:rPr>
        <w:t>PROGETTAZIONE INTEGRALE E COORDINATA, DEFINITIVA ED ESECUTIVA, COORDINAMENTO ALLA SICUREZZA IN FASE DI PROGETTAZIONE ED ESECUZIONE E RELATIVA DIREZIONE LAVORI PER IL “RECUPERO E RESTAURO EDIFICIO EX BORSA, VIA BOCCACCIO, MONZA” EDIFICIO AD USO SCOLASTICO – CIG 77150959CB</w:t>
      </w:r>
    </w:p>
    <w:p>
      <w:pPr>
        <w:pStyle w:val="Normal"/>
        <w:jc w:val="both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jc w:val="both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Appalti, concessioni e cottimi fiduciari.</w:t>
      </w:r>
    </w:p>
    <w:p>
      <w:pPr>
        <w:pStyle w:val="Normal"/>
        <w:jc w:val="both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 soggetti che intendono partecipare alle gare del Comune di Monza devono attenersi alle regole di comportamento del presente codice etico, che costituisce condizione di iscrizione all’Albo fornitori dell’ente, di ammissione a qualunque procedura, nonché parte integrante dei contratti di lavori, servizi e forniture.</w:t>
      </w:r>
    </w:p>
    <w:p>
      <w:pPr>
        <w:pStyle w:val="Normal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Il codice stabilisce la reciproca e formale obbligazione tra l’Amministrazione Comunale, i concorrenti e gli aggiudicatari di improntare la propria condotta ai principi di lealtà, trasparenza e correttezza, nonché l’espresso impegno anticorruzione di non offrire, accettare o richiedere somme di denaro o qualsiasi altro vantaggio o beneficio, sia direttamente che tramite intermediari, al fine dell’assegnazione del contratto o di distorcerne la  corretta attuazione.</w:t>
      </w:r>
    </w:p>
    <w:p>
      <w:pPr>
        <w:pStyle w:val="Normal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Le stesse prescrizioni si applicano a subappaltatori, subcontraenti e a chiunque risulti coinvolto, anche parzialmente, nell’esecuzione  di contratti dell’ente comunale.</w:t>
      </w:r>
    </w:p>
    <w:p>
      <w:pPr>
        <w:pStyle w:val="Normal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jc w:val="both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Concorrenza.</w:t>
      </w:r>
    </w:p>
    <w:p>
      <w:pPr>
        <w:pStyle w:val="Normal"/>
        <w:jc w:val="both"/>
        <w:rPr>
          <w:rFonts w:ascii="Trebuchet MS" w:hAnsi="Trebuchet MS"/>
          <w:sz w:val="22"/>
          <w:szCs w:val="22"/>
          <w:shd w:fill="auto" w:val="clear"/>
        </w:rPr>
      </w:pPr>
      <w:r>
        <w:rPr>
          <w:rFonts w:ascii="Trebuchet MS" w:hAnsi="Trebuchet MS"/>
          <w:sz w:val="22"/>
          <w:szCs w:val="22"/>
          <w:shd w:fill="auto" w:val="clear"/>
        </w:rPr>
      </w:r>
    </w:p>
    <w:p>
      <w:pPr>
        <w:pStyle w:val="Normal"/>
        <w:jc w:val="both"/>
        <w:rPr>
          <w:rFonts w:ascii="Trebuchet MS" w:hAnsi="Trebuchet MS"/>
          <w:sz w:val="22"/>
          <w:szCs w:val="22"/>
          <w:shd w:fill="auto" w:val="clear"/>
        </w:rPr>
      </w:pPr>
      <w:r>
        <w:rPr>
          <w:rFonts w:ascii="Trebuchet MS" w:hAnsi="Trebuchet MS"/>
          <w:sz w:val="22"/>
          <w:szCs w:val="22"/>
          <w:shd w:fill="auto" w:val="clear"/>
        </w:rPr>
        <w:t>Gli operatori economici devono astenersi da comportamenti anticoncorrenziali e rispettare le prescrizioni della legge n.287 del 1990 (“Norme per la tutela della concorrenza e del mercato”).</w:t>
      </w:r>
    </w:p>
    <w:p>
      <w:pPr>
        <w:pStyle w:val="Normal"/>
        <w:jc w:val="both"/>
        <w:rPr>
          <w:rFonts w:ascii="Trebuchet MS" w:hAnsi="Trebuchet MS"/>
          <w:sz w:val="22"/>
          <w:szCs w:val="22"/>
          <w:shd w:fill="auto" w:val="clear"/>
        </w:rPr>
      </w:pPr>
      <w:r>
        <w:rPr>
          <w:rFonts w:ascii="Trebuchet MS" w:hAnsi="Trebuchet MS"/>
          <w:sz w:val="22"/>
          <w:szCs w:val="22"/>
          <w:shd w:fill="auto" w:val="clear"/>
        </w:rPr>
        <w:t>Ai fini del presente codice, sono considerati contrari alla libera concorrenza e lesivi delle norme della buona fede, in particolare:</w:t>
      </w:r>
    </w:p>
    <w:p>
      <w:pPr>
        <w:pStyle w:val="Normal"/>
        <w:numPr>
          <w:ilvl w:val="0"/>
          <w:numId w:val="4"/>
        </w:numPr>
        <w:tabs>
          <w:tab w:val="left" w:pos="339" w:leader="none"/>
        </w:tabs>
        <w:ind w:left="375" w:right="0" w:hanging="360"/>
        <w:jc w:val="both"/>
        <w:rPr>
          <w:rFonts w:ascii="Trebuchet MS" w:hAnsi="Trebuchet MS"/>
          <w:sz w:val="22"/>
          <w:szCs w:val="22"/>
          <w:shd w:fill="auto" w:val="clear"/>
        </w:rPr>
      </w:pPr>
      <w:r>
        <w:rPr>
          <w:rFonts w:ascii="Trebuchet MS" w:hAnsi="Trebuchet MS"/>
          <w:sz w:val="22"/>
          <w:szCs w:val="22"/>
          <w:shd w:fill="auto" w:val="clear"/>
        </w:rPr>
        <w:t>la promessa, l'offerta, la concessione diretta o indiretta di un vantaggio ad una persona, o per suo tramite ad un terzo, in cambio dell'affidamento del contratto;</w:t>
      </w:r>
    </w:p>
    <w:p>
      <w:pPr>
        <w:pStyle w:val="Normal"/>
        <w:numPr>
          <w:ilvl w:val="0"/>
          <w:numId w:val="4"/>
        </w:numPr>
        <w:tabs>
          <w:tab w:val="left" w:pos="339" w:leader="none"/>
        </w:tabs>
        <w:ind w:left="375" w:right="0" w:hanging="360"/>
        <w:jc w:val="both"/>
        <w:rPr>
          <w:rFonts w:ascii="Trebuchet MS" w:hAnsi="Trebuchet MS"/>
          <w:sz w:val="22"/>
          <w:szCs w:val="22"/>
          <w:shd w:fill="auto" w:val="clear"/>
        </w:rPr>
      </w:pPr>
      <w:r>
        <w:rPr>
          <w:rFonts w:ascii="Trebuchet MS" w:hAnsi="Trebuchet MS"/>
          <w:sz w:val="22"/>
          <w:szCs w:val="22"/>
          <w:shd w:fill="auto" w:val="clear"/>
        </w:rPr>
        <w:t>qualunque accordo tra soggetti concorrenti finalizzato a condizionare il prezzo di aggiudicazione o le altre condizioni contrattuali;</w:t>
      </w:r>
    </w:p>
    <w:p>
      <w:pPr>
        <w:pStyle w:val="Normal"/>
        <w:numPr>
          <w:ilvl w:val="0"/>
          <w:numId w:val="4"/>
        </w:numPr>
        <w:tabs>
          <w:tab w:val="left" w:pos="339" w:leader="none"/>
        </w:tabs>
        <w:ind w:left="375" w:right="0" w:hanging="360"/>
        <w:jc w:val="both"/>
        <w:rPr>
          <w:rFonts w:ascii="Trebuchet MS" w:hAnsi="Trebuchet MS"/>
          <w:sz w:val="22"/>
          <w:szCs w:val="22"/>
          <w:shd w:fill="auto" w:val="clear"/>
        </w:rPr>
      </w:pPr>
      <w:r>
        <w:rPr>
          <w:rFonts w:ascii="Trebuchet MS" w:hAnsi="Trebuchet MS"/>
          <w:sz w:val="22"/>
          <w:szCs w:val="22"/>
          <w:shd w:fill="auto" w:val="clear"/>
        </w:rPr>
        <w:t>la promessa o la concessione di vantaggi a partecipanti affinché non concorrano o ritirino l'offerta eventualmente già presentata.</w:t>
      </w:r>
    </w:p>
    <w:p>
      <w:pPr>
        <w:pStyle w:val="Normal"/>
        <w:jc w:val="both"/>
        <w:rPr>
          <w:rFonts w:ascii="Trebuchet MS" w:hAnsi="Trebuchet MS"/>
          <w:sz w:val="22"/>
          <w:szCs w:val="22"/>
          <w:shd w:fill="auto" w:val="clear"/>
        </w:rPr>
      </w:pPr>
      <w:r>
        <w:rPr>
          <w:rFonts w:ascii="Trebuchet MS" w:hAnsi="Trebuchet MS"/>
          <w:sz w:val="22"/>
          <w:szCs w:val="22"/>
          <w:shd w:fill="auto" w:val="clear"/>
        </w:rPr>
        <w:t>E' considerata, altresì, pratica anticoncorrenziale influenzare l'andamento delle gare sfruttando  situazioni di controllo o di collegamento con altre imprese a norma dell'art.2359 c.c. o forme di collegamento sostanziale.</w:t>
      </w:r>
    </w:p>
    <w:p>
      <w:pPr>
        <w:pStyle w:val="Normal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ind w:left="15" w:right="0" w:hanging="15"/>
        <w:jc w:val="both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Dovere di segnalazione.</w:t>
      </w:r>
    </w:p>
    <w:p>
      <w:pPr>
        <w:pStyle w:val="Normal"/>
        <w:ind w:left="15" w:right="0" w:hanging="15"/>
        <w:jc w:val="both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Gli operatori devono segnalare al Comune qualsiasi tentativo di turbativa, irregolarità o distorsione da parte di un concorrente o interessato, di cui vengano comunque a conoscenza nelle fasi di svolgimento della gara o durante l’esecuzione del contratto.</w:t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Il dovere di segnalazione comprende qualunque richiesta di utilità, denaro o condizioni di vantaggio avanzata da dipendenti comunali.</w:t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ind w:left="15" w:right="0" w:hanging="15"/>
        <w:jc w:val="both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Mantenimento degli obblighi.</w:t>
      </w:r>
    </w:p>
    <w:p>
      <w:pPr>
        <w:pStyle w:val="Normal"/>
        <w:ind w:left="15" w:right="0" w:hanging="15"/>
        <w:jc w:val="both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Nelle fasi successive all'aggiudicazione gli obblighi si intendono riferiti al contraente, il quale dovrà assicurarne l’osservanza anche da parte dei propri subappaltatori.</w:t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Nel rispetto delle disposizioni di legge, il Comune di Monza  assicura una gestione attenta, trasparente ed uniforme del subappalto.</w:t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Il rilascio dell’autorizzazione è subordinato in particolare alla verifica :</w:t>
      </w:r>
    </w:p>
    <w:p>
      <w:pPr>
        <w:pStyle w:val="Normal"/>
        <w:numPr>
          <w:ilvl w:val="0"/>
          <w:numId w:val="1"/>
        </w:numPr>
        <w:ind w:left="270" w:right="0" w:hanging="28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del possesso dei requisiti di idoneità morale e tecnici-finanziari richiesti dalla lex specialis per l’esecuzione contrattuale;</w:t>
      </w:r>
    </w:p>
    <w:p>
      <w:pPr>
        <w:pStyle w:val="Normal"/>
        <w:numPr>
          <w:ilvl w:val="0"/>
          <w:numId w:val="1"/>
        </w:numPr>
        <w:ind w:left="-18" w:right="0" w:hang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della quota subappaltabile;</w:t>
      </w:r>
    </w:p>
    <w:p>
      <w:pPr>
        <w:pStyle w:val="Normal"/>
        <w:numPr>
          <w:ilvl w:val="0"/>
          <w:numId w:val="1"/>
        </w:numPr>
        <w:ind w:left="-18" w:right="0" w:hang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della tempistica per la presentazione dell’istanza;</w:t>
      </w:r>
    </w:p>
    <w:p>
      <w:pPr>
        <w:pStyle w:val="Normal"/>
        <w:numPr>
          <w:ilvl w:val="0"/>
          <w:numId w:val="1"/>
        </w:numPr>
        <w:ind w:left="-18" w:right="0" w:hang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della tracciabilità dei flussi finanziari. </w:t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La violazione del Codice da parte di subaffidatari costituisce causa di risoluzione del contratto ai sensi dell’art. 1456 c.c..</w:t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ind w:left="15" w:right="0" w:hanging="15"/>
        <w:jc w:val="both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Accettazione del Codice.</w:t>
      </w:r>
    </w:p>
    <w:p>
      <w:pPr>
        <w:pStyle w:val="Normal"/>
        <w:ind w:left="15" w:right="0" w:hanging="15"/>
        <w:jc w:val="both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Per essere ammesso a una gara, ogni concorrente dovrà allegare alla documentazione amministrativa una copia del  codice etico debitamente sottoscritta dal legale rappresentante. La mancata accettazione dei contenuti del documento comporta l'esclusione dalla procedura.</w:t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Una copia del presente codice sottoscritta per accettazione deve essere consegnata da chiunque intenda stipulare con il comune contratti relativi a lavori, servizi o forniture.</w:t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ind w:left="15" w:right="0" w:hanging="15"/>
        <w:jc w:val="both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Principi di comportamento del personale nei rapporti con le società appaltatrici.</w:t>
      </w:r>
    </w:p>
    <w:p>
      <w:pPr>
        <w:pStyle w:val="Normal"/>
        <w:ind w:left="15" w:right="0" w:hanging="15"/>
        <w:jc w:val="both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ind w:left="15" w:right="0" w:hanging="1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Come per gli operatori economici, è previsto anche per il personale del Comune di Monza il rispetto di determinate regole di comportamento:</w:t>
      </w:r>
    </w:p>
    <w:p>
      <w:pPr>
        <w:pStyle w:val="Normal"/>
        <w:ind w:left="15" w:right="0" w:hanging="1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left" w:pos="357" w:leader="none"/>
        </w:tabs>
        <w:ind w:left="375" w:right="0" w:hanging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imparzialità di  trattamento nei confronti delle imprese che partecipano alla gara e rispetto del principio di rotazione nella scelta di candidati nelle procedure su invito, assicurando un’adeguata concorrenza;</w:t>
      </w:r>
    </w:p>
    <w:p>
      <w:pPr>
        <w:pStyle w:val="Normal"/>
        <w:numPr>
          <w:ilvl w:val="0"/>
          <w:numId w:val="3"/>
        </w:numPr>
        <w:tabs>
          <w:tab w:val="left" w:pos="357" w:leader="none"/>
        </w:tabs>
        <w:ind w:left="375" w:right="0" w:hanging="360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riservatezza sulle informazioni relative alle gare, ad esclusione di quelle cui è consentito a tutti l’accesso;</w:t>
      </w:r>
    </w:p>
    <w:p>
      <w:pPr>
        <w:pStyle w:val="Normal"/>
        <w:numPr>
          <w:ilvl w:val="0"/>
          <w:numId w:val="3"/>
        </w:numPr>
        <w:tabs>
          <w:tab w:val="left" w:pos="357" w:leader="none"/>
        </w:tabs>
        <w:ind w:left="375" w:right="0" w:hanging="360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indipendenza nello svolgimento delle proprie mansioni e astensione dal coinvolgimento in operazioni che possano generare conflitto di interessi;</w:t>
      </w:r>
    </w:p>
    <w:p>
      <w:pPr>
        <w:pStyle w:val="Normal"/>
        <w:numPr>
          <w:ilvl w:val="0"/>
          <w:numId w:val="3"/>
        </w:numPr>
        <w:tabs>
          <w:tab w:val="left" w:pos="357" w:leader="none"/>
        </w:tabs>
        <w:ind w:left="375" w:right="0" w:hanging="360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divieto  di accettare regalie o qualsiasi cosa che possa rappresentare un vantaggio personale da parte delle imprese coinvolte nella gara;</w:t>
      </w:r>
    </w:p>
    <w:p>
      <w:pPr>
        <w:pStyle w:val="Normal"/>
        <w:numPr>
          <w:ilvl w:val="0"/>
          <w:numId w:val="3"/>
        </w:numPr>
        <w:tabs>
          <w:tab w:val="left" w:pos="357" w:leader="none"/>
        </w:tabs>
        <w:ind w:left="375" w:right="0" w:hanging="360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divieto di accettare, per sé o per i propri familiari, incarichi professionali o proposte lavorative in qualsiasi forma e modalità, da parte di società contraenti con la pubblica amministrazione, qualora il dipendente abbia partecipato alla conclusione del contratto o risulti comunque coinvolto nell’esecuzione contrattuale;</w:t>
      </w:r>
    </w:p>
    <w:p>
      <w:pPr>
        <w:pStyle w:val="Normal"/>
        <w:numPr>
          <w:ilvl w:val="0"/>
          <w:numId w:val="3"/>
        </w:numPr>
        <w:tabs>
          <w:tab w:val="left" w:pos="357" w:leader="none"/>
        </w:tabs>
        <w:ind w:left="375" w:right="0" w:hanging="360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obbligo per il dipendente che intenda stipulare un contratto privato con società appaltatrici dell’ente comunale di darne preventiva comunicazione al proprio dirigente qualora abbia partecipato alla conclusione dell’appalto o sia comunque coinvolto nell’esecuzione contrattuale;</w:t>
      </w:r>
    </w:p>
    <w:p>
      <w:pPr>
        <w:pStyle w:val="Normal"/>
        <w:numPr>
          <w:ilvl w:val="0"/>
          <w:numId w:val="3"/>
        </w:numPr>
        <w:tabs>
          <w:tab w:val="left" w:pos="357" w:leader="none"/>
        </w:tabs>
        <w:ind w:left="375" w:right="0" w:hanging="360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obbligo per il dirigente di vigilare sul rispetto dei suddetti obblighi da parte dei propri collaboratori. </w:t>
      </w:r>
    </w:p>
    <w:p>
      <w:pPr>
        <w:pStyle w:val="Normal"/>
        <w:ind w:left="15" w:right="0" w:hanging="1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La violazione dei suddetti doveri comporta l’applicazione di sanzioni disciplinari, oltre a generare ripercussioni sulla valutazione professionale.</w:t>
      </w:r>
    </w:p>
    <w:p>
      <w:pPr>
        <w:pStyle w:val="Normal"/>
        <w:ind w:left="15" w:right="0" w:hanging="1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</w:r>
    </w:p>
    <w:p>
      <w:pPr>
        <w:pStyle w:val="Normal"/>
        <w:ind w:left="15" w:right="0" w:hanging="15"/>
        <w:jc w:val="both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Obblighi dell’Amministrazione.</w:t>
      </w:r>
    </w:p>
    <w:p>
      <w:pPr>
        <w:pStyle w:val="Normal"/>
        <w:ind w:left="15" w:right="0" w:hanging="15"/>
        <w:jc w:val="both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ind w:left="15" w:right="0" w:hanging="1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L’Amministrazione si impegna</w:t>
      </w:r>
    </w:p>
    <w:p>
      <w:pPr>
        <w:pStyle w:val="Normal"/>
        <w:ind w:left="15" w:right="0" w:hanging="1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1. </w:t>
      </w:r>
      <w:r>
        <w:rPr>
          <w:rFonts w:ascii="Trebuchet MS" w:hAnsi="Trebuchet MS"/>
          <w:sz w:val="22"/>
          <w:szCs w:val="22"/>
        </w:rPr>
        <w:t>a pubblicare sul proprio sito internet le seguenti informazioni relative alle procedure di affidamento di lavori, servizi e forniture:</w:t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ind w:left="357" w:right="0" w:hanging="35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a) dopo lo svolgimento della prima seduta pubblica, l'elenco dei concorrenti che hanno presentato offerta;</w:t>
      </w:r>
    </w:p>
    <w:p>
      <w:pPr>
        <w:pStyle w:val="Normal"/>
        <w:ind w:left="357" w:right="0" w:hanging="35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b)  nelle procedure negoziate senza pubblicazione del bando e nei cottimi fiduciari l’elenco degli operatori invitati, degli offerenti e il nominativo dell'aggiudicatario.</w:t>
      </w:r>
    </w:p>
    <w:p>
      <w:pPr>
        <w:pStyle w:val="Normal"/>
        <w:ind w:left="15" w:right="0" w:hanging="15"/>
        <w:jc w:val="both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  attraverso la sottoscrizione di appositi protocolli d’intesa, ad adottare politiche finalizzate a:</w:t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left" w:pos="357" w:leader="none"/>
        </w:tabs>
        <w:ind w:left="339" w:right="0" w:hanging="36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contrastare il lavoro nero e l'evasione contributiva</w:t>
      </w:r>
    </w:p>
    <w:p>
      <w:pPr>
        <w:pStyle w:val="Normal"/>
        <w:numPr>
          <w:ilvl w:val="0"/>
          <w:numId w:val="5"/>
        </w:numPr>
        <w:tabs>
          <w:tab w:val="left" w:pos="357" w:leader="none"/>
        </w:tabs>
        <w:ind w:left="339" w:right="0" w:hanging="36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assicurare ai lavoratori impegnati nell’esecuzione di appalti pubblici il rispetto della normativa in tema di sicurezza e salute </w:t>
      </w:r>
    </w:p>
    <w:p>
      <w:pPr>
        <w:pStyle w:val="Normal"/>
        <w:numPr>
          <w:ilvl w:val="0"/>
          <w:numId w:val="5"/>
        </w:numPr>
        <w:tabs>
          <w:tab w:val="left" w:pos="357" w:leader="none"/>
        </w:tabs>
        <w:ind w:left="339" w:right="0" w:hanging="36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contrastare le situazioni di condizionamento d’impresa.</w:t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ind w:left="15" w:right="0" w:hanging="15"/>
        <w:jc w:val="both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ind w:left="15" w:right="0" w:hanging="15"/>
        <w:jc w:val="both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Convenzioni urbanistiche.</w:t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Per prevenire infiltrazioni criminali, le convenzioni urbanistiche dovranno prevedere l'obbligo per il soggetto attuatore di acquisire la certificazione antimafia di tutte le imprese appaltatrici o subappaltatrici prima del loro ingresso in cantiere, sanzionando con la risoluzione contrattuale  l’accertata presenza in cantiere di imprese non in regola con la normativa antimafia.</w:t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L’acquisizione della certificazione dovrà essere tempestivamente comunicata all’ente.</w:t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L'obbligo della certificazione è inoltre posto a carico dell'operatore.</w:t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Si applicano alle convenzioni urbanistiche le prescrizioni contenute nell’art.17 del presente codice</w:t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ind w:left="15" w:right="0" w:hanging="15"/>
        <w:jc w:val="both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Sanzioni.</w:t>
      </w:r>
    </w:p>
    <w:p>
      <w:pPr>
        <w:pStyle w:val="Normal"/>
        <w:ind w:left="15" w:right="0" w:hanging="15"/>
        <w:jc w:val="both"/>
        <w:rPr>
          <w:rFonts w:ascii="Trebuchet MS" w:hAnsi="Trebuchet MS"/>
          <w:b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L'accertamento di una violazione delle norme del presente codice comporta:</w:t>
      </w:r>
    </w:p>
    <w:p>
      <w:pPr>
        <w:pStyle w:val="Normal"/>
        <w:numPr>
          <w:ilvl w:val="0"/>
          <w:numId w:val="2"/>
        </w:numPr>
        <w:ind w:left="240" w:right="0" w:hanging="24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l'esclusione dalla gara o la decadenza dall'aggiudicazione, con conseguente incameramento della cauzione provvisoria, salvo il risarcimento del maggior danno patrimoniale derivato;</w:t>
      </w:r>
    </w:p>
    <w:p>
      <w:pPr>
        <w:pStyle w:val="Normal"/>
        <w:numPr>
          <w:ilvl w:val="0"/>
          <w:numId w:val="2"/>
        </w:numPr>
        <w:ind w:left="270" w:right="0" w:hanging="25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qualora la violazione sia accertata dopo la stipulazione del contratto, la risoluzione di diritto ai sensi e per gli effetti dell'art. 1456 c.c. e l'incameramento della cauzione definitiva;</w:t>
      </w:r>
    </w:p>
    <w:p>
      <w:pPr>
        <w:pStyle w:val="Normal"/>
        <w:numPr>
          <w:ilvl w:val="0"/>
          <w:numId w:val="2"/>
        </w:numPr>
        <w:ind w:left="270" w:right="0" w:hanging="25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la denuncia all’autorità giudiziaria, qualora la fattispecie configuri un’ipotesi di reato.</w:t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Normal"/>
        <w:ind w:left="15" w:right="0" w:hanging="15"/>
        <w:jc w:val="both"/>
        <w:rPr/>
      </w:pPr>
      <w:r>
        <w:rPr/>
        <w:t xml:space="preserve"> </w:t>
      </w:r>
    </w:p>
    <w:p>
      <w:pPr>
        <w:pStyle w:val="Normal"/>
        <w:ind w:left="15" w:right="0" w:hanging="15"/>
        <w:jc w:val="both"/>
        <w:rPr/>
      </w:pPr>
      <w:r>
        <w:rPr/>
      </w:r>
    </w:p>
    <w:p>
      <w:pPr>
        <w:pStyle w:val="Normal"/>
        <w:ind w:left="15" w:right="0" w:hanging="15"/>
        <w:jc w:val="both"/>
        <w:rPr/>
      </w:pPr>
      <w:r>
        <w:rPr/>
      </w:r>
    </w:p>
    <w:p>
      <w:pPr>
        <w:pStyle w:val="Normal"/>
        <w:ind w:left="15" w:right="0" w:hanging="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data………………………………..                                                                  Per accettazione</w:t>
      </w:r>
    </w:p>
    <w:p>
      <w:pPr>
        <w:pStyle w:val="Normal"/>
        <w:ind w:left="15" w:right="0" w:hanging="15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ind w:left="15" w:right="0" w:hanging="15"/>
        <w:jc w:val="both"/>
        <w:rPr/>
      </w:pPr>
      <w:r>
        <w:rPr>
          <w:rFonts w:ascii="Trebuchet MS" w:hAnsi="Trebuchet MS"/>
        </w:rPr>
        <w:tab/>
        <w:tab/>
        <w:tab/>
        <w:tab/>
        <w:tab/>
        <w:tab/>
        <w:tab/>
        <w:tab/>
        <w:t xml:space="preserve">                               </w:t>
      </w:r>
      <w:r>
        <w:rPr>
          <w:rFonts w:ascii="Trebuchet MS" w:hAnsi="Trebuchet MS"/>
          <w:sz w:val="16"/>
          <w:szCs w:val="16"/>
        </w:rPr>
        <w:t>Firma digitale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rebuchet MS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suff w:val="space"/>
      <w:lvlText w:val="%1)"/>
      <w:lvlJc w:val="left"/>
      <w:pPr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2">
    <w:lvl w:ilvl="0">
      <w:start w:val="1"/>
      <w:numFmt w:val="lowerLetter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suff w:val="space"/>
      <w:lvlText w:val="%2)"/>
      <w:lvlJc w:val="left"/>
      <w:pPr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ind w:left="1440" w:hanging="360"/>
      </w:pPr>
    </w:lvl>
    <w:lvl w:ilvl="3">
      <w:start w:val="1"/>
      <w:numFmt w:val="lowerLetter"/>
      <w:suff w:val="space"/>
      <w:lvlText w:val="%4)"/>
      <w:lvlJc w:val="left"/>
      <w:pPr>
        <w:ind w:left="1800" w:hanging="360"/>
      </w:pPr>
    </w:lvl>
    <w:lvl w:ilvl="4">
      <w:start w:val="1"/>
      <w:numFmt w:val="lowerLetter"/>
      <w:suff w:val="space"/>
      <w:lvlText w:val="%5)"/>
      <w:lvlJc w:val="left"/>
      <w:pPr>
        <w:ind w:left="2160" w:hanging="360"/>
      </w:pPr>
    </w:lvl>
    <w:lvl w:ilvl="5">
      <w:start w:val="1"/>
      <w:numFmt w:val="lowerLetter"/>
      <w:suff w:val="space"/>
      <w:lvlText w:val="%6)"/>
      <w:lvlJc w:val="left"/>
      <w:pPr>
        <w:ind w:left="2520" w:hanging="360"/>
      </w:pPr>
    </w:lvl>
    <w:lvl w:ilvl="6">
      <w:start w:val="1"/>
      <w:numFmt w:val="lowerLetter"/>
      <w:suff w:val="space"/>
      <w:lvlText w:val="%7)"/>
      <w:lvlJc w:val="left"/>
      <w:pPr>
        <w:ind w:left="2880" w:hanging="360"/>
      </w:pPr>
    </w:lvl>
    <w:lvl w:ilvl="7">
      <w:start w:val="1"/>
      <w:numFmt w:val="lowerLetter"/>
      <w:suff w:val="space"/>
      <w:lvlText w:val="%8)"/>
      <w:lvlJc w:val="left"/>
      <w:pPr>
        <w:ind w:left="3240" w:hanging="360"/>
      </w:pPr>
    </w:lvl>
    <w:lvl w:ilvl="8">
      <w:start w:val="1"/>
      <w:numFmt w:val="lowerLetter"/>
      <w:suff w:val="space"/>
      <w:lvlText w:val="%9)"/>
      <w:lvlJc w:val="left"/>
      <w:pPr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Tahoma"/>
      <w:color w:val="auto"/>
      <w:sz w:val="24"/>
      <w:szCs w:val="24"/>
      <w:lang w:val="it-IT" w:bidi="hi-IN" w:eastAsia="zh-CN"/>
    </w:rPr>
  </w:style>
  <w:style w:type="character" w:styleId="WW8Num5z0">
    <w:name w:val="WW8Num5z0"/>
    <w:qFormat/>
    <w:rPr>
      <w:rFonts w:ascii="Symbol" w:hAnsi="Symbol"/>
    </w:rPr>
  </w:style>
  <w:style w:type="character" w:styleId="Carpredefinitoparagrafo">
    <w:name w:val="Car. predefinito paragrafo"/>
    <w:qFormat/>
    <w:rPr/>
  </w:style>
  <w:style w:type="character" w:styleId="WW8Num10z0">
    <w:name w:val="WW8Num10z0"/>
    <w:qFormat/>
    <w:rPr>
      <w:rFonts w:ascii="Symbol" w:hAnsi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/>
    </w:rPr>
  </w:style>
  <w:style w:type="character" w:styleId="Carpredefinitoparagrafo1">
    <w:name w:val="Car. predefinito paragrafo1"/>
    <w:qFormat/>
    <w:rPr/>
  </w:style>
  <w:style w:type="character" w:styleId="AbsatzStandardschriftart">
    <w:name w:val="Absatz-Standardschriftart"/>
    <w:qFormat/>
    <w:rPr/>
  </w:style>
  <w:style w:type="character" w:styleId="Caratteredinumerazione">
    <w:name w:val="Carattere di numerazione"/>
    <w:qFormat/>
    <w:rPr/>
  </w:style>
  <w:style w:type="character" w:styleId="Caratterenotaapidipagina">
    <w:name w:val="Carattere nota a piè di pagina"/>
    <w:qFormat/>
    <w:rPr/>
  </w:style>
  <w:style w:type="character" w:styleId="Caratterenotadichiusura">
    <w:name w:val="Carattere nota di chiusura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ltesto">
    <w:name w:val="Corpo del testo"/>
    <w:basedOn w:val="Normal"/>
    <w:pPr>
      <w:spacing w:before="0" w:after="120"/>
    </w:pPr>
    <w:rPr/>
  </w:style>
  <w:style w:type="paragraph" w:styleId="Elenco">
    <w:name w:val="Elenco"/>
    <w:basedOn w:val="Corpodeltesto"/>
    <w:pPr/>
    <w:rPr>
      <w:rFonts w:cs="Tahoma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Intestazione2">
    <w:name w:val="Intestazione2"/>
    <w:basedOn w:val="Normal"/>
    <w:next w:val="Corpodeltes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1">
    <w:name w:val="Intestazione1"/>
    <w:basedOn w:val="Normal"/>
    <w:next w:val="Corpodeltes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Application>LibreOffice/4.4.3.2$Windows_x86 LibreOffice_project/88805f81e9fe61362df02b9941de8e38a9b5fd16</Application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2012-07-25T09:17:00Z</dcterms:created>
  <dc:creator>Manuela Cappello</dc:creator>
  <dc:language>it-IT</dc:language>
  <cp:lastPrinted>2012-12-06T14:22:42Z</cp:lastPrinted>
  <dcterms:modified xsi:type="dcterms:W3CDTF">2019-01-17T08:34:36Z</dcterms:modified>
  <cp:revision>38</cp:revision>
  <dc:title>CODICE ETICO</dc:title>
</cp:coreProperties>
</file>